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544A" w:rsidRDefault="001A4922">
      <w:pPr>
        <w:jc w:val="center"/>
      </w:pPr>
      <w:r>
        <w:rPr>
          <w:b/>
          <w:sz w:val="24"/>
          <w:szCs w:val="24"/>
        </w:rPr>
        <w:t>Resource List: Fall Capstone Workshop 2016</w:t>
      </w:r>
    </w:p>
    <w:p w:rsidR="001C544A" w:rsidRDefault="001C544A"/>
    <w:p w:rsidR="001C544A" w:rsidRDefault="001A49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“How Students Can Take Charge of Their Education”, NYT 11/4/11</w:t>
      </w:r>
    </w:p>
    <w:p w:rsidR="001C544A" w:rsidRDefault="001C544A"/>
    <w:p w:rsidR="001C544A" w:rsidRDefault="001A4922"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http://learning.blogs.nytimes.com/2011/11/04/how-students-can-take-charge-of-their-education/?_r=0</w:t>
        </w:r>
      </w:hyperlink>
    </w:p>
    <w:p w:rsidR="001C544A" w:rsidRDefault="001C544A"/>
    <w:p w:rsidR="001C544A" w:rsidRDefault="001A49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Adrienne Rich speech</w:t>
      </w:r>
    </w:p>
    <w:p w:rsidR="001C544A" w:rsidRDefault="001A4922"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http://isites.harvard.e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du/fs/docs/icb.topic469725.files/Rich-Claiming%20an%20Education-1.pdf</w:t>
        </w:r>
      </w:hyperlink>
    </w:p>
    <w:p w:rsidR="001C544A" w:rsidRDefault="001C544A"/>
    <w:p w:rsidR="001C544A" w:rsidRDefault="001C544A"/>
    <w:p w:rsidR="001C544A" w:rsidRDefault="001A492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Learner Centered Teaching and Education and USC: A Resource for Faculty</w:t>
      </w:r>
    </w:p>
    <w:p w:rsidR="001C544A" w:rsidRDefault="001A4922"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/cet.usc.edu/resources/teaching_learning/docs/LearnerCentered_Resource_final.pdf</w:t>
        </w:r>
      </w:hyperlink>
    </w:p>
    <w:p w:rsidR="001C544A" w:rsidRDefault="001C544A"/>
    <w:p w:rsidR="001C544A" w:rsidRDefault="001A4922">
      <w:pPr>
        <w:numPr>
          <w:ilvl w:val="0"/>
          <w:numId w:val="1"/>
        </w:numPr>
        <w:spacing w:before="160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</w:rPr>
        <w:t>Student  Collaboration in the Online Classroom</w:t>
      </w:r>
    </w:p>
    <w:p w:rsidR="001C544A" w:rsidRDefault="001A4922">
      <w:pPr>
        <w:spacing w:before="160"/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http://www.cincinnatistate.edu/online/faculty-resources/Student%20Collaboration%20in%20the%20Online%20Classroom.pdf</w:t>
        </w:r>
      </w:hyperlink>
    </w:p>
    <w:p w:rsidR="001C544A" w:rsidRDefault="001A4922">
      <w:pPr>
        <w:spacing w:before="160"/>
      </w:pPr>
      <w:r>
        <w:rPr>
          <w:rFonts w:ascii="Calibri" w:eastAsia="Calibri" w:hAnsi="Calibri" w:cs="Calibri"/>
          <w:b/>
        </w:rPr>
        <w:t xml:space="preserve">5. Links to </w:t>
      </w:r>
      <w:r>
        <w:rPr>
          <w:rFonts w:ascii="Times New Roman" w:eastAsia="Times New Roman" w:hAnsi="Times New Roman" w:cs="Times New Roman"/>
          <w:b/>
        </w:rPr>
        <w:t xml:space="preserve">Techniques to Empower Students to Claim Their Education </w:t>
      </w:r>
    </w:p>
    <w:p w:rsidR="001C544A" w:rsidRDefault="001A4922">
      <w:pPr>
        <w:spacing w:before="160"/>
      </w:pPr>
      <w:r>
        <w:rPr>
          <w:rFonts w:ascii="Times New Roman" w:eastAsia="Times New Roman" w:hAnsi="Times New Roman" w:cs="Times New Roman"/>
          <w:b/>
          <w:i/>
        </w:rPr>
        <w:t>Classroom Charters/Learning Agreement:</w:t>
      </w:r>
    </w:p>
    <w:p w:rsidR="001C544A" w:rsidRDefault="001A4922">
      <w:pPr>
        <w:spacing w:before="160"/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http://www.facultyfocus.com/articles/teaching-and-learning/applying-learning-agreements-in-the-classroom/</w:t>
        </w:r>
      </w:hyperlink>
    </w:p>
    <w:p w:rsidR="001C544A" w:rsidRDefault="001A4922">
      <w:pPr>
        <w:spacing w:before="160"/>
      </w:pPr>
      <w:r>
        <w:rPr>
          <w:rFonts w:ascii="Times New Roman" w:eastAsia="Times New Roman" w:hAnsi="Times New Roman" w:cs="Times New Roman"/>
          <w:b/>
          <w:i/>
        </w:rPr>
        <w:t xml:space="preserve">Jigsaw: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http://www.readwritethink.org/professional-development/strategy-guides/using-jigsaw-cooperative-learning-30599.html</w:t>
        </w:r>
      </w:hyperlink>
    </w:p>
    <w:p w:rsidR="001C544A" w:rsidRDefault="001A4922">
      <w:pPr>
        <w:spacing w:before="160"/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https://www.facinghistory.org/resource-library/teaching-strategies/jigsaw-developing-community-and-disseminating-knowledge</w:t>
        </w:r>
      </w:hyperlink>
    </w:p>
    <w:p w:rsidR="001C544A" w:rsidRDefault="001A4922">
      <w:pPr>
        <w:spacing w:before="160"/>
      </w:pPr>
      <w:r>
        <w:rPr>
          <w:rFonts w:ascii="Times New Roman" w:eastAsia="Times New Roman" w:hAnsi="Times New Roman" w:cs="Times New Roman"/>
          <w:b/>
          <w:i/>
        </w:rPr>
        <w:t>Fishbowl:</w:t>
      </w:r>
    </w:p>
    <w:p w:rsidR="001C544A" w:rsidRDefault="001A4922">
      <w:pPr>
        <w:spacing w:before="160"/>
      </w:pP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https://www.facinghistory.org/resource-library/teaching-strategies/fishbowl</w:t>
        </w:r>
      </w:hyperlink>
    </w:p>
    <w:p w:rsidR="001C544A" w:rsidRDefault="001A4922">
      <w:pPr>
        <w:spacing w:before="160"/>
      </w:pPr>
      <w:r>
        <w:rPr>
          <w:rFonts w:ascii="Times New Roman" w:eastAsia="Times New Roman" w:hAnsi="Times New Roman" w:cs="Times New Roman"/>
          <w:b/>
          <w:i/>
        </w:rPr>
        <w:t>Think/Pair/Share:</w:t>
      </w:r>
    </w:p>
    <w:p w:rsidR="001C544A" w:rsidRDefault="001A4922">
      <w:pPr>
        <w:spacing w:before="160"/>
      </w:pP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https://www.facinghistory.org/resource-library/teaching-strategies/think-pair-share-facilitating-discussions-small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-and-large</w:t>
        </w:r>
      </w:hyperlink>
    </w:p>
    <w:p w:rsidR="001C544A" w:rsidRDefault="001A4922">
      <w:pPr>
        <w:spacing w:before="160"/>
      </w:pPr>
      <w:r>
        <w:rPr>
          <w:rFonts w:ascii="Times New Roman" w:eastAsia="Times New Roman" w:hAnsi="Times New Roman" w:cs="Times New Roman"/>
          <w:b/>
          <w:i/>
        </w:rPr>
        <w:t>KWL Knowledge Inventory:</w:t>
      </w:r>
    </w:p>
    <w:p w:rsidR="001C544A" w:rsidRDefault="001A4922">
      <w:pPr>
        <w:spacing w:before="160"/>
      </w:pP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https://www.facinghistory.org/resource-library/teaching-strategies/k-w-l-charts</w:t>
        </w:r>
      </w:hyperlink>
    </w:p>
    <w:p w:rsidR="001C544A" w:rsidRDefault="001A4922">
      <w:pPr>
        <w:spacing w:before="160"/>
      </w:pPr>
      <w:r>
        <w:rPr>
          <w:rFonts w:ascii="Times New Roman" w:eastAsia="Times New Roman" w:hAnsi="Times New Roman" w:cs="Times New Roman"/>
          <w:b/>
        </w:rPr>
        <w:t>6. The Danger of a Single Story (Ted Talk)</w:t>
      </w:r>
    </w:p>
    <w:p w:rsidR="001C544A" w:rsidRDefault="001A4922">
      <w:pPr>
        <w:spacing w:before="160"/>
      </w:pP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https://www.ted.com/talks/chimamanda_adichie_the_danger_of_a_single_story?language=en</w:t>
        </w:r>
      </w:hyperlink>
    </w:p>
    <w:p w:rsidR="001C544A" w:rsidRDefault="001C544A">
      <w:pPr>
        <w:spacing w:before="160"/>
      </w:pPr>
    </w:p>
    <w:p w:rsidR="001C544A" w:rsidRDefault="001C544A">
      <w:bookmarkStart w:id="0" w:name="_GoBack"/>
      <w:bookmarkEnd w:id="0"/>
    </w:p>
    <w:sectPr w:rsidR="001C54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732B"/>
    <w:multiLevelType w:val="multilevel"/>
    <w:tmpl w:val="258009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A"/>
    <w:rsid w:val="001A4922"/>
    <w:rsid w:val="001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6BF60-AF12-473D-8843-A38665D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innatistate.edu/online/faculty-resources/Student%20Collaboration%20in%20the%20Online%20Classroom.pdf" TargetMode="External"/><Relationship Id="rId13" Type="http://schemas.openxmlformats.org/officeDocument/2006/relationships/hyperlink" Target="https://www.facinghistory.org/resource-library/teaching-strategies/think-pair-share-facilitating-discussions-small-and-la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t.usc.edu/resources/teaching_learning/docs/LearnerCentered_Resource_final.pdf" TargetMode="External"/><Relationship Id="rId12" Type="http://schemas.openxmlformats.org/officeDocument/2006/relationships/hyperlink" Target="https://www.facinghistory.org/resource-library/teaching-strategies/fishbow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sites.harvard.edu/fs/docs/icb.topic469725.files/Rich-Claiming%20an%20Education-1.pdf" TargetMode="External"/><Relationship Id="rId11" Type="http://schemas.openxmlformats.org/officeDocument/2006/relationships/hyperlink" Target="https://www.facinghistory.org/resource-library/teaching-strategies/jigsaw-developing-community-and-disseminating-knowledge" TargetMode="External"/><Relationship Id="rId5" Type="http://schemas.openxmlformats.org/officeDocument/2006/relationships/hyperlink" Target="http://learning.blogs.nytimes.com/2011/11/04/how-students-can-take-charge-of-their-education/?_r=0" TargetMode="External"/><Relationship Id="rId15" Type="http://schemas.openxmlformats.org/officeDocument/2006/relationships/hyperlink" Target="https://www.ted.com/talks/chimamanda_adichie_the_danger_of_a_single_story?language=en" TargetMode="External"/><Relationship Id="rId10" Type="http://schemas.openxmlformats.org/officeDocument/2006/relationships/hyperlink" Target="http://www.readwritethink.org/professional-development/strategy-guides/using-jigsaw-cooperative-learning-305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ultyfocus.com/articles/teaching-and-learning/applying-learning-agreements-in-the-classroom/" TargetMode="External"/><Relationship Id="rId14" Type="http://schemas.openxmlformats.org/officeDocument/2006/relationships/hyperlink" Target="https://www.facinghistory.org/resource-library/teaching-strategies/k-w-l-ch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Fitzmaurice</dc:creator>
  <cp:lastModifiedBy>Celine Fitzmaurice</cp:lastModifiedBy>
  <cp:revision>2</cp:revision>
  <dcterms:created xsi:type="dcterms:W3CDTF">2016-09-26T20:59:00Z</dcterms:created>
  <dcterms:modified xsi:type="dcterms:W3CDTF">2016-09-26T20:59:00Z</dcterms:modified>
</cp:coreProperties>
</file>